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彭州市</w:t>
      </w:r>
    </w:p>
    <w:p>
      <w:pPr>
        <w:spacing w:line="560" w:lineRule="exact"/>
        <w:ind w:firstLine="675" w:firstLineChars="21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【概述】 2018年</w:t>
      </w:r>
      <w:r>
        <w:rPr>
          <w:rFonts w:ascii="仿宋_GB2312" w:hAnsi="仿宋_GB2312" w:eastAsia="仿宋_GB2312" w:cs="仿宋_GB2312"/>
          <w:b/>
          <w:sz w:val="32"/>
          <w:szCs w:val="32"/>
        </w:rPr>
        <w:t>，</w:t>
      </w:r>
      <w:r>
        <w:rPr>
          <w:rFonts w:hint="eastAsia" w:ascii="仿宋_GB2312" w:hAnsi="仿宋_GB2312" w:eastAsia="仿宋_GB2312" w:cs="仿宋_GB2312"/>
          <w:sz w:val="32"/>
          <w:szCs w:val="32"/>
          <w:shd w:val="clear" w:color="auto" w:fill="FFFFFF"/>
        </w:rPr>
        <w:t>彭州市教育局深入学习贯彻习近平新时代中国特色社会主义思想和党的十九大精神，围绕办人民满意教育，加快推进教育资源优化配置，持续深化教育改革开放，全面提高教育质量，整体提升教育现代化水平，教育事业持续发展。学前教育优质普惠</w:t>
      </w:r>
      <w:r>
        <w:rPr>
          <w:rFonts w:hint="eastAsia" w:ascii="仿宋_GB2312" w:hAnsi="仿宋_GB2312" w:eastAsia="仿宋_GB2312" w:cs="仿宋_GB2312"/>
          <w:color w:val="0D0D0D" w:themeColor="text1" w:themeTint="F2"/>
          <w:sz w:val="32"/>
          <w:szCs w:val="32"/>
          <w:shd w:val="clear" w:color="auto" w:fill="FFFFFF"/>
          <w14:textFill>
            <w14:solidFill>
              <w14:schemeClr w14:val="tx1">
                <w14:lumMod w14:val="95000"/>
                <w14:lumOff w14:val="5000"/>
              </w14:schemeClr>
            </w14:solidFill>
          </w14:textFill>
        </w:rPr>
        <w:t>发展</w:t>
      </w:r>
      <w:r>
        <w:rPr>
          <w:rFonts w:hint="eastAsia" w:ascii="仿宋_GB2312" w:hAnsi="仿宋_GB2312" w:eastAsia="仿宋_GB2312" w:cs="仿宋_GB2312"/>
          <w:sz w:val="32"/>
          <w:szCs w:val="32"/>
          <w:shd w:val="clear" w:color="auto" w:fill="FFFFFF"/>
        </w:rPr>
        <w:t>，公办幼儿园学位超过14000个，公办和公益性幼儿园学位覆盖率超过100%。南部新城学校等13个教育重大民生服务项目有序推进，城乡教育资源布局不断优化。普通高中优质特色发展，高考质量持续稳步提升。全市小学、初中入学率均达100%，</w:t>
      </w:r>
      <w:r>
        <w:rPr>
          <w:rFonts w:hint="eastAsia" w:ascii="仿宋_GB2312" w:hAnsi="仿宋_GB2312" w:eastAsia="仿宋_GB2312" w:cs="仿宋_GB2312"/>
          <w:sz w:val="32"/>
          <w:szCs w:val="32"/>
          <w:shd w:val="clear" w:color="auto" w:fill="FFFFFF"/>
          <w:lang w:eastAsia="zh-CN"/>
        </w:rPr>
        <w:t>义务教育均衡指数为0.21</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eastAsia="zh-CN"/>
        </w:rPr>
        <w:t>居成都市第5位</w:t>
      </w:r>
      <w:r>
        <w:rPr>
          <w:rFonts w:hint="eastAsia" w:ascii="仿宋_GB2312" w:hAnsi="仿宋_GB2312" w:eastAsia="仿宋_GB2312" w:cs="仿宋_GB2312"/>
          <w:sz w:val="32"/>
          <w:szCs w:val="32"/>
          <w:shd w:val="clear" w:color="auto" w:fill="FFFFFF"/>
        </w:rPr>
        <w:t>。大力发展公办幼儿园，积极扶持和发展公益性幼儿园，普惠性学前教育覆盖率达85.9%，公办和公益性幼儿园学位覆盖率达123.6%。成功通过国家级农村职业教育和成人教育示范县专家组复检评估，全市义务教育阶段残疾少年儿童入学率达96.9%。完成数字校园建设，9所学校被评为成都市数字校园示范校。教育国际化进一步提高，川剧梨园新蕾艺术团赴摩洛哥参演，各校（园）开展“外教进校园送教”活动，180余名师生开展境外交流游学，签订了友好结对学校5所。牵头完成了成都市下达给彭州市政府的消除在公共场所非法文化教育培训机构责任目标。全面完成了教育资助任务，被成都市教育局评为教育资助工作先进单位、生源地助学贷款先进单位。</w:t>
      </w:r>
    </w:p>
    <w:p>
      <w:pPr>
        <w:spacing w:line="560" w:lineRule="exact"/>
        <w:ind w:firstLine="672" w:firstLineChars="21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2018年，彭州市共有学校210所，其中幼儿园152所，小学22所，初中13所，九年制学校14所，十二年制学校1所,普通高中5所，职业高中1所，特殊教育学校1所，教师进修学校1所。全市在校中小学生68302人，在园幼儿23134人，在职教职工5215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【党建工作】</w:t>
      </w:r>
      <w:r>
        <w:rPr>
          <w:rFonts w:hint="eastAsia" w:ascii="仿宋_GB2312" w:hAnsi="仿宋_GB2312" w:eastAsia="仿宋_GB2312" w:cs="仿宋_GB2312"/>
          <w:sz w:val="32"/>
          <w:szCs w:val="32"/>
        </w:rPr>
        <w:t>党组书记带头履行主体责任，党组班子成员履行抓党建“一岗双责”，专题研究党建工作13次，主持中心组学习会15次。成立了中共彭州市委教育工作委员会，升格（调整）成立基层党委5个、党总支5个、支部34个，完成下属61个基层党组织换届工作。进一步理顺党组织隶属关系，积极推进教育行业“两新”党建管理逐步规范化。创建成都市中小学党建标准化建设试点单位2个，成都市廉洁学校示范点1个，评选系统“两优一先”先进集体和个人130个，每季度开展对各校（园）党建工作情况督查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【学前教育】</w:t>
      </w:r>
      <w:r>
        <w:rPr>
          <w:rFonts w:hint="eastAsia" w:ascii="仿宋_GB2312" w:hAnsi="仿宋_GB2312" w:eastAsia="仿宋_GB2312" w:cs="仿宋_GB2312"/>
          <w:sz w:val="32"/>
          <w:szCs w:val="32"/>
        </w:rPr>
        <w:t xml:space="preserve"> 全面完成第二期学前教育行动计划,新（改扩）建公办幼儿园41所。回收小鱼洞镇草坝、江桥和蓓苗幼儿园3所，19所新（改、扩）建园已于今年秋季如期投入使用，新增学位3690个。取消实验小学、延秀小学附设幼儿班；</w:t>
      </w:r>
      <w:r>
        <w:rPr>
          <w:rFonts w:hint="eastAsia" w:ascii="仿宋_GB2312" w:hAnsi="仿宋_GB2312" w:eastAsia="仿宋_GB2312" w:cs="仿宋_GB2312"/>
          <w:color w:val="000000" w:themeColor="text1"/>
          <w:sz w:val="32"/>
          <w:szCs w:val="32"/>
          <w14:textFill>
            <w14:solidFill>
              <w14:schemeClr w14:val="tx1"/>
            </w14:solidFill>
          </w14:textFill>
        </w:rPr>
        <w:t>将花龙幼儿园举办为南幼第三分园,黑龙泉幼儿园举办为机幼第四分园，扩大城区优质学前教育资源。</w:t>
      </w:r>
      <w:r>
        <w:rPr>
          <w:rFonts w:hint="eastAsia" w:ascii="仿宋_GB2312" w:hAnsi="仿宋_GB2312" w:eastAsia="仿宋_GB2312" w:cs="仿宋_GB2312"/>
          <w:sz w:val="32"/>
          <w:szCs w:val="32"/>
        </w:rPr>
        <w:t>实施第三期学前教育行动计划，在城区新建公办幼儿园1所。全市适龄幼儿入园率达到99.7%，普惠性学前教育覆盖率达85.9%，新增公益性幼儿园2所，公益性幼儿园覆盖率达123.6%，17万人次在园幼儿享受政府补助1690.61 万元。实施学前教育“三儿”资助4570人次，资助金额为228.5万元。将公办幼儿园非在编教师待遇按照人均4.255万元纳入财政预算予以保障。部门和科室联动，实施公办、民办幼儿园“抱团”发展专项视导考核和“回头看”200余园次，下达整改通知书126份，督促整改问题500余个。新增一级园1所、二级园15所，等级园覆盖率达98.7%，其中二级园以上占比达83.9%。推动学前教育国际化，</w:t>
      </w:r>
      <w:r>
        <w:rPr>
          <w:rFonts w:hint="eastAsia" w:ascii="仿宋_GB2312" w:hAnsi="仿宋_GB2312" w:eastAsia="仿宋_GB2312" w:cs="仿宋_GB2312"/>
          <w:color w:val="000000"/>
          <w:sz w:val="32"/>
          <w:szCs w:val="32"/>
        </w:rPr>
        <w:t>机关幼儿园和南街幼儿园分别与日本</w:t>
      </w:r>
      <w:r>
        <w:rPr>
          <w:rFonts w:hint="eastAsia" w:ascii="仿宋_GB2312" w:hAnsi="仿宋_GB2312" w:eastAsia="仿宋_GB2312" w:cs="仿宋_GB2312"/>
          <w:sz w:val="32"/>
          <w:szCs w:val="32"/>
        </w:rPr>
        <w:t>谷塚小泽幼稚园签订“姊妹园”结对协议书。6个学前教育集团、35个区域学前教育集团开展结对帮扶、联合教研和送教下乡等活动100余次，近2000余人次参加集团户外游戏比赛等活动。</w:t>
      </w:r>
      <w:r>
        <w:rPr>
          <w:rFonts w:hint="eastAsia" w:ascii="仿宋_GB2312" w:hAnsi="仿宋_GB2312" w:eastAsia="仿宋_GB2312" w:cs="仿宋_GB2312"/>
          <w:color w:val="000000" w:themeColor="text1"/>
          <w:sz w:val="32"/>
          <w:szCs w:val="32"/>
          <w14:textFill>
            <w14:solidFill>
              <w14:schemeClr w14:val="tx1"/>
            </w14:solidFill>
          </w14:textFill>
        </w:rPr>
        <w:t>严格师资聘管用培，</w:t>
      </w:r>
      <w:r>
        <w:rPr>
          <w:rFonts w:hint="eastAsia" w:ascii="仿宋_GB2312" w:hAnsi="仿宋_GB2312" w:eastAsia="仿宋_GB2312" w:cs="仿宋_GB2312"/>
          <w:sz w:val="32"/>
          <w:szCs w:val="32"/>
        </w:rPr>
        <w:t>学历提升培训 197人，教育局奖补学历提升幼儿教师30余万元；评选出市优青、师德标兵50名（非在编30人）；对150 余名园长、90余名骨干教师进行了业务培训，对120余名新入职教保人员进行了岗前培训，选派 60余人次参加国培、省培和成都市级培训，500余人参加彭州市幼儿园保健人员、保育员岗位轮训。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义务教育</w:t>
      </w:r>
      <w:r>
        <w:rPr>
          <w:rFonts w:hint="eastAsia" w:ascii="仿宋_GB2312" w:hAnsi="仿宋_GB2312" w:eastAsia="仿宋_GB2312" w:cs="仿宋_GB2312"/>
          <w:sz w:val="32"/>
          <w:szCs w:val="32"/>
        </w:rPr>
        <w:t>】对义务教育招生入学工作进行改革，民办学校与公办中小学同步规范招生，民办初中学校招生首次实施微机派位和面谈相结合的录取办法，确保全市义务教育阶段所有适龄儿童免试就近公平入学。小学初中入学率均达100%，全市义务教育非正常跨服务区学生比例0%，普通高中择校率0%，2018年小学流失率0%，初中流失率0.01%，以优质服务完成2018年彭州市进城务工人员随迁子女1281名就近入学安置工作。突破省二级以上示范性普通高中指标到校生政策，首次实施不参加中考及考后填报志愿的办法，指标到校生坚持均衡、扶薄原则，将优质高中招生分配指标向农村薄弱初中适当倾斜，有力促进了我市义务教育教育均衡发展。创新学校教育教学质量评价办法，提高评价的针对性和激励性，通过名校集团和对口帮扶工作，精准扶薄补短，有效促进我市义务教育教育均衡优质发展，6所学校脱离成都市薄弱学校，并在2018年成都市初中工作会上经验交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普通高中教育</w:t>
      </w:r>
      <w:r>
        <w:rPr>
          <w:rFonts w:hint="eastAsia" w:ascii="仿宋_GB2312" w:hAnsi="仿宋_GB2312" w:eastAsia="仿宋_GB2312" w:cs="仿宋_GB2312"/>
          <w:sz w:val="32"/>
          <w:szCs w:val="32"/>
        </w:rPr>
        <w:t>】 彭州市现有普通高中5所，十二年制学校1所，学生7593人。高中阶段入学率达99.4%，普高三年巩固率达99.4%，毕业率达98.0%。普通高考本科上线率继续位居远郊新城区县前列，彭州中学、濛阳中学被评为“普通高中教育教学工作优秀学校”，敖玲等31名教师被评为“普通高中教育教学工作优秀教师”。成都石室白马中学通过省二级示范性普通高中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职业教育</w:t>
      </w:r>
      <w:r>
        <w:rPr>
          <w:rFonts w:hint="eastAsia" w:ascii="仿宋_GB2312" w:hAnsi="仿宋_GB2312" w:eastAsia="仿宋_GB2312" w:cs="仿宋_GB2312"/>
          <w:sz w:val="32"/>
          <w:szCs w:val="32"/>
        </w:rPr>
        <w:t>】 成都石化工业学校总面积174.4亩，教职工389人，教学班156个，在册学生5284人。学校设有12个专业，各类专业实训室77个。2018年新增教学仪器设备总值266万元，整体规模居成都市中职学校前列。2018年共招收中职学生1645人（含24名阿坝州藏区9+3学生）, 与四川化工职业技术学院、四川工商职业技术学院组建五年制大专班，共招收123人。实施“文化素质＋职业技能”人才培养模式，2018年应届就业人数为1928人，学生毕业率99.7%、就业率达100%；专业技能合格率96.4%，双证书获取率99.8%；700人参加高考，升学率95.9%。探索产教融合，入选第二批市级现代学徒制试点单位，先后与德国工商总会（上海）AHK、上海沪试、锐峰机械等企业开展校企合作。开展面向社会的职业技能鉴定3390人，技能培训2230人。2018年入选首批四川省示范中等职业学校建设项目、成都市第三批特色职业院校建设单位和成都市第二批校（园）长发展基地学校。被评为“四川省教育工作先进集体”、“成都市教育系统先进党组织”，荣获全国第十四届中职学生文明风采竞赛四川赛区优秀组织奖、彭州市2017年度五四红旗团组织、彭州市家庭教育示范校、彭州市心理健康教育特色学校等荣誉称号。</w:t>
      </w:r>
    </w:p>
    <w:p>
      <w:pPr>
        <w:tabs>
          <w:tab w:val="left" w:pos="99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【特殊教育】 </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制定《彭州市第二期特殊教育提升计划（2018-2020年）实施方案》，义务教育阶段残疾少年儿童入学率达96.9%。按照每生8000元标准拨付特殊教育学校学生、普通学校随班就读学生生均经费，落实“三免一补”扶残助学政策，落实 27万元特殊教育专项经费，升级改建2个普通学校资源教室。加强特殊教育师资培训，参加西部融合教育发展研讨会，组织全市校（园）长和资源中心、特教学校教师、普通学校资源教师10批次参加南京、珠海、重庆、成都、乐山、双流等地及本地培训学习。对重度残疾学生开展送教上门。进一步完善特教教学、生活设施，成功举办全市“做一次特教老师，感悟奉献最美”党课体验活动，获得成都市三等奖、彭州市一等奖。</w:t>
      </w:r>
    </w:p>
    <w:p>
      <w:pPr>
        <w:spacing w:line="560" w:lineRule="exact"/>
        <w:ind w:firstLine="710" w:firstLineChars="22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【成人教育和社区教育】</w:t>
      </w:r>
      <w:r>
        <w:rPr>
          <w:rFonts w:hint="eastAsia" w:ascii="仿宋_GB2312" w:hAnsi="仿宋_GB2312" w:eastAsia="仿宋_GB2312" w:cs="仿宋_GB2312"/>
          <w:sz w:val="32"/>
          <w:szCs w:val="32"/>
        </w:rPr>
        <w:t>通过国家级农村职业和成人教育示范县教育部专家组复检评估验收。落实社区教育教师编制，全市社区教育专职人员增加21人，专兼职教师达447人。彭州市市民学习体验中心面向市民开放。</w:t>
      </w:r>
      <w:r>
        <w:rPr>
          <w:rFonts w:hint="eastAsia" w:ascii="仿宋_GB2312" w:hAnsi="仿宋_GB2312" w:eastAsia="仿宋_GB2312" w:cs="仿宋_GB2312"/>
          <w:color w:val="000000"/>
          <w:sz w:val="32"/>
          <w:szCs w:val="32"/>
        </w:rPr>
        <w:t>学习型城市建设和社区教育</w:t>
      </w:r>
      <w:r>
        <w:rPr>
          <w:rFonts w:hint="eastAsia" w:ascii="仿宋_GB2312" w:hAnsi="仿宋_GB2312" w:eastAsia="仿宋_GB2312" w:cs="仿宋_GB2312"/>
          <w:sz w:val="32"/>
          <w:szCs w:val="32"/>
        </w:rPr>
        <w:t xml:space="preserve">联席会议成员单位面向社会公开社区教育服务清单。打造和完善“最成都.市民课堂”活动，年服务市民达40万人次以上。天彭街道锦阳社区教育工作站被评为成都市“最成都•市民课堂”五星级教学点。全市355个社区教育工作站提供社区雏鹰公益活动服务26595 人次，其中服务农村留守儿童7429 </w:t>
      </w:r>
      <w:r>
        <w:rPr>
          <w:rFonts w:hint="eastAsia" w:ascii="仿宋_GB2312" w:hAnsi="仿宋_GB2312" w:eastAsia="仿宋_GB2312" w:cs="仿宋_GB2312"/>
          <w:color w:val="000000" w:themeColor="text1"/>
          <w:sz w:val="32"/>
          <w:szCs w:val="32"/>
          <w14:textFill>
            <w14:solidFill>
              <w14:schemeClr w14:val="tx1"/>
            </w14:solidFill>
          </w14:textFill>
        </w:rPr>
        <w:t>人次。</w:t>
      </w:r>
      <w:r>
        <w:rPr>
          <w:rFonts w:hint="eastAsia" w:ascii="仿宋_GB2312" w:hAnsi="仿宋_GB2312" w:eastAsia="仿宋_GB2312" w:cs="仿宋_GB2312"/>
          <w:sz w:val="32"/>
          <w:szCs w:val="32"/>
        </w:rPr>
        <w:t>加强学习型彭州建设，天彭街道锦阳社区、致和镇贤德社区、升平镇龙福村、龙门山镇宝山村、小鱼洞镇杨坪村被评为成都市“学习型”社区，军乐镇三和社区被评为成都市“学习型示范社区”。新兴镇市民李传茂</w:t>
      </w:r>
      <w:r>
        <w:rPr>
          <w:rFonts w:hint="eastAsia" w:ascii="仿宋_GB2312" w:hAnsi="仿宋_GB2312" w:eastAsia="仿宋_GB2312" w:cs="仿宋_GB2312"/>
          <w:color w:val="000000"/>
          <w:sz w:val="32"/>
          <w:szCs w:val="32"/>
        </w:rPr>
        <w:t>被评为“成都市百姓学习之星”。</w:t>
      </w:r>
      <w:r>
        <w:rPr>
          <w:rFonts w:hint="eastAsia" w:ascii="仿宋_GB2312" w:hAnsi="仿宋_GB2312" w:eastAsia="仿宋_GB2312" w:cs="仿宋_GB2312"/>
          <w:sz w:val="32"/>
          <w:szCs w:val="32"/>
        </w:rPr>
        <w:t>彭州市显辉职业技能学校被评为成都市优秀成人继续教育院校。《龙窑学艺》、《昌衡家风游学》确定为成都市级游学路线。加强学校体育设施对外开放管理力度，四川省彭州市第一中学，四川省彭州市敖平中学，彭州市九尺镇小学被评为成都市体育设施对外开放优质学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【教师队伍建设】</w:t>
      </w:r>
      <w:r>
        <w:rPr>
          <w:rFonts w:hint="eastAsia" w:ascii="仿宋_GB2312" w:hAnsi="仿宋_GB2312" w:eastAsia="仿宋_GB2312" w:cs="仿宋_GB2312"/>
          <w:sz w:val="32"/>
          <w:szCs w:val="32"/>
        </w:rPr>
        <w:t>彭州市认真落实国家、省、市乡村教师支持计划，执行城乡统一的中小学教职工编制标准，多渠道补足、配齐农村音体美等紧缺学科教师。深入推进“县管校聘”，</w:t>
      </w:r>
      <w:r>
        <w:rPr>
          <w:rFonts w:hint="eastAsia" w:ascii="仿宋_GB2312" w:hAnsi="仿宋_GB2312" w:eastAsia="仿宋_GB2312" w:cs="仿宋_GB2312"/>
          <w:color w:val="000000" w:themeColor="text1"/>
          <w:sz w:val="32"/>
          <w:szCs w:val="32"/>
          <w14:textFill>
            <w14:solidFill>
              <w14:schemeClr w14:val="tx1"/>
            </w14:solidFill>
          </w14:textFill>
        </w:rPr>
        <w:t>义务教育段学校应交流的教师数为877人，实际交流236名，交流比例为26.9%，其中骨干教师59人，占交流人数的25%；赴阿坝州黑水县援藏支教26人，赴凉山州开展脱贫攻坚帮扶工作4人；</w:t>
      </w:r>
      <w:r>
        <w:rPr>
          <w:rFonts w:hint="eastAsia" w:ascii="仿宋_GB2312" w:hAnsi="仿宋_GB2312" w:eastAsia="仿宋_GB2312" w:cs="仿宋_GB2312"/>
          <w:sz w:val="32"/>
          <w:szCs w:val="32"/>
        </w:rPr>
        <w:t>退出教师27人，其中，辞聘25人，待岗2人。</w:t>
      </w:r>
      <w:r>
        <w:rPr>
          <w:rFonts w:hint="eastAsia" w:ascii="仿宋_GB2312" w:hAnsi="仿宋_GB2312" w:eastAsia="仿宋_GB2312" w:cs="仿宋_GB2312"/>
          <w:color w:val="000000" w:themeColor="text1"/>
          <w:sz w:val="32"/>
          <w:szCs w:val="32"/>
          <w14:textFill>
            <w14:solidFill>
              <w14:schemeClr w14:val="tx1"/>
            </w14:solidFill>
          </w14:textFill>
        </w:rPr>
        <w:t>开展教师资格定期注册工作，符合条件的教师已全部完成教师资格定期注册工作。</w:t>
      </w:r>
      <w:r>
        <w:rPr>
          <w:rFonts w:hint="eastAsia" w:ascii="仿宋_GB2312" w:hAnsi="仿宋_GB2312" w:eastAsia="仿宋_GB2312" w:cs="仿宋_GB2312"/>
          <w:sz w:val="32"/>
          <w:szCs w:val="32"/>
        </w:rPr>
        <w:t>多渠道、多途径提高农村教师素质，增强农村学校吸引力，提高农村义务教育学校申报中学高级职称比例，增加农村学校教师评优评先比例，2018年评选成都市特级教师6名，彭州市特级教师21名，其他各类优秀教师683余名。组织教师参加各级各类培训11000余人次。开展师德师风全员培训，寒假集中对教师开展教师职业道德教育和师德满意度测评，实行师德失范“一票否决”制。组建成都市名师工作室3个，彭州市名师工作室6个；全市小学</w:t>
      </w:r>
      <w:r>
        <w:rPr>
          <w:rFonts w:hint="eastAsia" w:ascii="仿宋_GB2312" w:hAnsi="仿宋_GB2312" w:eastAsia="仿宋_GB2312" w:cs="仿宋_GB2312"/>
          <w:color w:val="000000" w:themeColor="text1"/>
          <w:sz w:val="32"/>
          <w:szCs w:val="32"/>
          <w14:textFill>
            <w14:solidFill>
              <w14:schemeClr w14:val="tx1"/>
            </w14:solidFill>
          </w14:textFill>
        </w:rPr>
        <w:t>小学专科达99.3%，初中本科达95%，普高研究生达8.8%，职高研究生达8.3%。</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【中小学德育】</w:t>
      </w:r>
      <w:r>
        <w:rPr>
          <w:rFonts w:hint="eastAsia" w:ascii="仿宋_GB2312" w:hAnsi="仿宋_GB2312" w:eastAsia="仿宋_GB2312" w:cs="仿宋_GB2312"/>
          <w:sz w:val="32"/>
          <w:szCs w:val="32"/>
        </w:rPr>
        <w:t>全市共1名老师参加心理辅导员A级资格培训，120名参加心理辅导员B级培训，100名参加心理辅导员C级培训。</w:t>
      </w:r>
      <w:r>
        <w:rPr>
          <w:rFonts w:hint="eastAsia" w:ascii="仿宋_GB2312" w:hAnsi="仿宋_GB2312" w:eastAsia="仿宋_GB2312" w:cs="仿宋_GB2312"/>
          <w:color w:val="000000" w:themeColor="text1"/>
          <w:sz w:val="32"/>
          <w:szCs w:val="32"/>
          <w14:textFill>
            <w14:solidFill>
              <w14:schemeClr w14:val="tx1"/>
            </w14:solidFill>
          </w14:textFill>
        </w:rPr>
        <w:t>全市共有5人被评为“成都市优秀德育工作者”、17人被评为“成都市优秀班主任”、</w:t>
      </w:r>
      <w:r>
        <w:rPr>
          <w:rFonts w:hint="eastAsia" w:ascii="仿宋_GB2312" w:hAnsi="仿宋_GB2312" w:eastAsia="仿宋_GB2312" w:cs="仿宋_GB2312"/>
          <w:sz w:val="32"/>
          <w:szCs w:val="32"/>
        </w:rPr>
        <w:t xml:space="preserve"> 5人被评为“成都市优秀乡村班主任‘蓝光园丁奖’”、5个少先队被评为</w:t>
      </w:r>
      <w:r>
        <w:rPr>
          <w:rFonts w:hint="eastAsia" w:ascii="仿宋_GB2312" w:hAnsi="仿宋_GB2312" w:eastAsia="仿宋_GB2312" w:cs="仿宋_GB2312"/>
          <w:color w:val="000000" w:themeColor="text1"/>
          <w:sz w:val="32"/>
          <w:szCs w:val="32"/>
          <w14:textFill>
            <w14:solidFill>
              <w14:schemeClr w14:val="tx1"/>
            </w14:solidFill>
          </w14:textFill>
        </w:rPr>
        <w:t>“成都市少先队先进集体”、4人被评为“成都市优秀少先队辅导员”。</w:t>
      </w:r>
      <w:r>
        <w:rPr>
          <w:rFonts w:hint="eastAsia" w:ascii="仿宋_GB2312" w:hAnsi="仿宋_GB2312" w:eastAsia="仿宋_GB2312" w:cs="仿宋_GB2312"/>
          <w:sz w:val="32"/>
          <w:szCs w:val="32"/>
        </w:rPr>
        <w:t>全市共有5名学生被评为四川省“三好学生”、4名学生被评为四川省“优秀学生干部”、1个班级被评为四川省“先进班集体”；26名学生被评为成都市“三好学生”、26名学生被评为成都市“优秀学生干部”、6个班级被评为成都市“先进班集体”；338名学生被评为彭州市“三好学生”、180名学生被评为彭州市“优秀学生干部”、208个班级被评为彭州市“先进班集体”、260名少先队员被评为彭州市“优秀少先队员”。创建“成都市文明校园”5所，“彭州市文明校园”31所。创建“成都市心理健康特色学校”1所，“彭州市心理健康特色学校”11 所，创建“成都市家庭教育示范学校”3所，“彭州市家庭教育示范学校”22所.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 xml:space="preserve">【教育资助】 </w:t>
      </w:r>
      <w:r>
        <w:rPr>
          <w:rFonts w:hint="eastAsia" w:ascii="仿宋_GB2312" w:hAnsi="仿宋_GB2312" w:eastAsia="仿宋_GB2312" w:cs="仿宋_GB2312"/>
          <w:sz w:val="32"/>
          <w:szCs w:val="32"/>
        </w:rPr>
        <w:t>2018年</w:t>
      </w:r>
      <w:r>
        <w:rPr>
          <w:rFonts w:ascii="仿宋_GB2312" w:hAnsi="仿宋_GB2312" w:eastAsia="仿宋_GB2312" w:cs="仿宋_GB2312"/>
          <w:sz w:val="32"/>
          <w:szCs w:val="32"/>
        </w:rPr>
        <w:t>，彭州市教育系统</w:t>
      </w:r>
      <w:r>
        <w:rPr>
          <w:rFonts w:hint="eastAsia" w:ascii="仿宋_GB2312" w:hAnsi="仿宋_GB2312" w:eastAsia="仿宋_GB2312" w:cs="仿宋_GB2312"/>
          <w:sz w:val="32"/>
          <w:szCs w:val="32"/>
        </w:rPr>
        <w:t>全面完成各项教育资助任务。小学共计资助学生690人次，资助金额34.5万元；初中共计资助学生4332人次，资助金额270.75万元；普高共计资助学生177人次，资助金额5.31万元；中职共计资助学生156人次，资助金额2.808万元（含技工校）。普高国助金资助学生4772人次，资助金额为477.2万元。共计资助学生3789人次，资助金额为157.506万元。义务教育阶段宏志助学共计资助学生808人次，资助金额为43.4万元。学前教育“三儿”共计资助学生4570人次，资助金额为228.5万元。中职国助金（含技工学校）资助学生7035人次，资助资金共计140.7万元。中职免学费（含技工学校）资助学生10388人次，资助金额为9972.48万元。中职免住宿费（含技工学校）资助学生5231人次，资助金额为143.8525万元。大学新生入学资助学生10人、标准为省内500元/人、省外100元/人，资助资金共计0.8万元。落实“高校生源地信用贷款”政策，2018年“高校生源地信用贷款”学生人数958人，贷款金额共计745.3642万元，做到应贷尽贷，圆贫困学子大学梦。</w:t>
      </w:r>
    </w:p>
    <w:p>
      <w:pPr>
        <w:tabs>
          <w:tab w:val="left" w:pos="990"/>
        </w:tabs>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【艺术体育教育】</w:t>
      </w:r>
      <w:r>
        <w:rPr>
          <w:rFonts w:hint="eastAsia" w:ascii="仿宋_GB2312" w:hAnsi="仿宋_GB2312" w:eastAsia="仿宋_GB2312" w:cs="仿宋_GB2312"/>
          <w:sz w:val="32"/>
          <w:szCs w:val="32"/>
        </w:rPr>
        <w:t>2018年，彭州市创建全国校园足球特色学校1所、成都市川剧特色学校3所、成都市银杏艺术团1个、成都市体育传统项目学校23所。</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成</w:t>
      </w:r>
      <w:r>
        <w:rPr>
          <w:rFonts w:hint="eastAsia" w:ascii="仿宋_GB2312" w:hAnsi="仿宋_GB2312" w:eastAsia="仿宋_GB2312" w:cs="仿宋_GB2312"/>
          <w:sz w:val="32"/>
          <w:szCs w:val="32"/>
        </w:rPr>
        <w:t>功举行第三届中小学生体育节，获得各级领导高度好评。参加成都市第五届初学生运动会获团体二等奖，6个单项一等奖。参加成都市第十二届中小学生艺术节展演活动获团体二等奖，共获75项集体和个人奖项。川剧节目获四川省第四届中小学川剧传习展演一等奖。获成都市“非遗进校园”展演活动集体奖3个、个人奖11人次。参加四川省第十三届运动会评为成都代表团突出贡献单位。参加四川省第九届中小学生艺术节展演获优秀组织奖。完成了白鹿童声合唱团的组建工作，参加成都市第十二届中小学艺术节合唱比赛荣获小学组一等奖。2人入选参加全国青少年校园足球夏令营总营活动。组织特色项目跳绳、空竹、定向越野、啦啦操等获全国、省市级奖100余项。开展中小学生音乐、美术知识技能年度随机抽测，学生合格率、优良率逐年提升。开展体育艺术“2+1”项目测评，优良率达45%，合格率达100%。开展中小学生体质健康监测并上报数据，合格率达98.5%。</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【党风廉政建设】</w:t>
      </w:r>
      <w:r>
        <w:rPr>
          <w:rFonts w:hint="eastAsia" w:ascii="仿宋_GB2312" w:hAnsi="仿宋_GB2312" w:eastAsia="仿宋_GB2312" w:cs="仿宋_GB2312"/>
          <w:bCs/>
          <w:sz w:val="32"/>
          <w:szCs w:val="32"/>
        </w:rPr>
        <w:t>党组召开专题</w:t>
      </w:r>
      <w:r>
        <w:rPr>
          <w:rFonts w:hint="eastAsia" w:ascii="仿宋_GB2312" w:hAnsi="仿宋_GB2312" w:eastAsia="仿宋_GB2312" w:cs="仿宋_GB2312"/>
          <w:sz w:val="32"/>
          <w:szCs w:val="32"/>
        </w:rPr>
        <w:t>研究党风廉政建设和反腐败工作会议</w:t>
      </w:r>
      <w:r>
        <w:rPr>
          <w:rFonts w:hint="eastAsia" w:ascii="仿宋_GB2312" w:hAnsi="仿宋_GB2312" w:eastAsia="仿宋_GB2312" w:cs="仿宋_GB2312"/>
          <w:bCs/>
          <w:sz w:val="32"/>
          <w:szCs w:val="32"/>
        </w:rPr>
        <w:t>8次</w:t>
      </w:r>
      <w:r>
        <w:rPr>
          <w:rFonts w:hint="eastAsia" w:ascii="仿宋_GB2312" w:hAnsi="仿宋_GB2312" w:eastAsia="仿宋_GB2312" w:cs="仿宋_GB2312"/>
          <w:sz w:val="32"/>
          <w:szCs w:val="32"/>
        </w:rPr>
        <w:t>，专题听取党风廉政建设和反腐败工作汇报会议4次，专题学习党风廉政建设有关规定要求中心组（扩大）学习会8次，全年召开警示教育大会4次，</w:t>
      </w:r>
      <w:r>
        <w:rPr>
          <w:rFonts w:hint="eastAsia" w:ascii="仿宋_GB2312" w:hAnsi="仿宋_GB2312" w:eastAsia="仿宋_GB2312" w:cs="仿宋_GB2312"/>
          <w:bCs/>
          <w:sz w:val="32"/>
          <w:szCs w:val="32"/>
        </w:rPr>
        <w:t>互动式警示教育活动1次。</w:t>
      </w:r>
      <w:r>
        <w:rPr>
          <w:rFonts w:hint="eastAsia" w:ascii="仿宋_GB2312" w:hAnsi="仿宋_GB2312" w:eastAsia="仿宋_GB2312" w:cs="仿宋_GB2312"/>
          <w:sz w:val="32"/>
          <w:szCs w:val="32"/>
        </w:rPr>
        <w:t>全市教育系统全覆盖谈心谈话6043人次，收集意见建议15类200余个，均已按要求进行解决和上报。5月2日，市委巡察组进驻教育系统，对教育系统开展政治巡察。对巡察组反馈的40份《情况说明通知书》和8份《巡察整改通知书》所涉及问题、提出的意见，均建立问题清单、形成整改台账、明确整改时限、落实主体责任，即见即改、立行立改、真改实改，真正做到了件件有着落、事事有回音。创新发挥“1+6+N”监督巡查机制作用，共开展监督巡查7次，促进预防腐败工作取得新成效，构建教育系统党风廉政监督巡查体系，实现监督执纪常态化制度化，提升群众对彭州教育的满意度。利安小学成功创建“成都市廉洁学校示范校”。2018年，党组和派驻纪检组共同对7名学校校长进行谈话提醒，给予了2名学校行政干部撤职处分，处理违规教师4名，有效净化了教育工作环境，为进一步提升教育质量夯实了纪律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政府教育督导</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制发《彭州市学校（园）教育工作主要目标责任书》，</w:t>
      </w:r>
      <w:r>
        <w:rPr>
          <w:rFonts w:hint="eastAsia" w:ascii="仿宋_GB2312" w:hAnsi="仿宋_GB2312" w:eastAsia="仿宋_GB2312" w:cs="仿宋_GB2312"/>
          <w:sz w:val="32"/>
          <w:szCs w:val="32"/>
        </w:rPr>
        <w:t>加强对学校目标运行情况的督查和考核。</w:t>
      </w:r>
      <w:r>
        <w:rPr>
          <w:rFonts w:hint="eastAsia" w:ascii="仿宋_GB2312" w:hAnsi="仿宋_GB2312" w:eastAsia="仿宋_GB2312" w:cs="仿宋_GB2312"/>
          <w:color w:val="000000"/>
          <w:sz w:val="32"/>
          <w:szCs w:val="32"/>
        </w:rPr>
        <w:t>规范督学工作。认真学习贯彻《教育督导条例》和《四川省教育督导条例》，成立市政府教育督导委员会，加强中小学校督学责任区建设，完善责任督学挂牌督导制度，规范责任督学挂牌督导工作。聘请</w:t>
      </w:r>
      <w:r>
        <w:rPr>
          <w:rFonts w:hint="eastAsia" w:ascii="仿宋_GB2312" w:hAnsi="仿宋_GB2312" w:eastAsia="仿宋_GB2312" w:cs="仿宋_GB2312"/>
          <w:sz w:val="32"/>
          <w:szCs w:val="32"/>
        </w:rPr>
        <w:t>14名责任督学每月对7个责任区58所学校、幼儿园开展常规督导，组织开展治理学生欺凌、教育质量、师德师风、校园安全专项督导和实验教学协作督导、学校工作综合督导，启动争创全国中小学校挂牌督导创新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教育均衡化</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坚持教育优先发展，</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彭州市政府制发《关于印发彭州市统筹推进城乡义务教育一体化促进全市义务教育优质均衡发展实施办法的通知》（彭府发〔2018〕5号），落实教育保</w:t>
      </w:r>
      <w:r>
        <w:rPr>
          <w:rFonts w:hint="eastAsia" w:ascii="仿宋_GB2312" w:hAnsi="仿宋_GB2312" w:eastAsia="仿宋_GB2312" w:cs="仿宋_GB2312"/>
          <w:sz w:val="32"/>
          <w:szCs w:val="32"/>
        </w:rPr>
        <w:t>障机制，大力改善办学条件，严格规范办学行为，加强教师队伍建设，全力推进义务教育优质均衡发展。2017彭州市义务教育校际均衡指数为</w:t>
      </w:r>
      <w:r>
        <w:rPr>
          <w:rFonts w:hint="eastAsia" w:ascii="仿宋_GB2312" w:hAnsi="仿宋_GB2312" w:eastAsia="仿宋_GB2312" w:cs="仿宋_GB2312"/>
          <w:color w:val="auto"/>
          <w:sz w:val="32"/>
          <w:szCs w:val="32"/>
          <w:lang w:eastAsia="zh-CN"/>
        </w:rPr>
        <w:t>0.21（居成都市第5位，远郊第2位），较2016年均衡程度稳步提高</w:t>
      </w:r>
      <w:bookmarkStart w:id="0" w:name="_GoBack"/>
      <w:bookmarkEnd w:id="0"/>
      <w:r>
        <w:rPr>
          <w:rFonts w:hint="eastAsia" w:ascii="仿宋_GB2312" w:hAnsi="仿宋_GB2312" w:eastAsia="仿宋_GB2312" w:cs="仿宋_GB2312"/>
          <w:sz w:val="32"/>
          <w:szCs w:val="32"/>
        </w:rPr>
        <w:t>，人民群众切实享受到了教育均衡优质发展的成果。</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教育信息化</w:t>
      </w:r>
      <w:r>
        <w:rPr>
          <w:rFonts w:hint="eastAsia" w:ascii="仿宋_GB2312" w:hAnsi="仿宋_GB2312" w:eastAsia="仿宋_GB2312" w:cs="仿宋_GB2312"/>
          <w:sz w:val="32"/>
          <w:szCs w:val="32"/>
        </w:rPr>
        <w:t>】2018年，投入3</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7万元，继续开展数字校园建设，为全市22所中小学按《成都数字校园建设标准》配置信息化基础设备设施，部分学校开展数字校园提升建设，涵盖校园网、多媒体、一对一教学系统、校园安全监控、校宣系统等。成功申报成都数字校园示范校6所现共有9所学校已成为成都市数字校园示范校，做到了数字校园基本建设、应用全覆盖。投入资金600万元升级高考及高中学业水平考试标准化考场380余间，投入1400万元全面建设新高考选课走班系统，为各校实施新高考改革作好了信息化的全面准备。在全市中小学教师中继续开展2018年“名师优课”活动，参与学校54所，教师</w:t>
      </w:r>
      <w:r>
        <w:rPr>
          <w:rFonts w:hint="eastAsia" w:ascii="仿宋_GB2312" w:hAnsi="仿宋_GB2312" w:eastAsia="仿宋_GB2312" w:cs="仿宋_GB2312"/>
          <w:color w:val="000000" w:themeColor="text1"/>
          <w:sz w:val="32"/>
          <w:szCs w:val="32"/>
          <w14:textFill>
            <w14:solidFill>
              <w14:schemeClr w14:val="tx1"/>
            </w14:solidFill>
          </w14:textFill>
        </w:rPr>
        <w:t>4211</w:t>
      </w:r>
      <w:r>
        <w:rPr>
          <w:rFonts w:hint="eastAsia" w:ascii="仿宋_GB2312" w:hAnsi="仿宋_GB2312" w:eastAsia="仿宋_GB2312" w:cs="仿宋_GB2312"/>
          <w:sz w:val="32"/>
          <w:szCs w:val="32"/>
        </w:rPr>
        <w:t>人，晒课</w:t>
      </w:r>
      <w:r>
        <w:rPr>
          <w:rFonts w:hint="eastAsia" w:ascii="仿宋_GB2312" w:hAnsi="仿宋_GB2312" w:eastAsia="仿宋_GB2312" w:cs="仿宋_GB2312"/>
          <w:color w:val="000000" w:themeColor="text1"/>
          <w:sz w:val="32"/>
          <w:szCs w:val="32"/>
          <w14:textFill>
            <w14:solidFill>
              <w14:schemeClr w14:val="tx1"/>
            </w14:solidFill>
          </w14:textFill>
        </w:rPr>
        <w:t>4233</w:t>
      </w:r>
      <w:r>
        <w:rPr>
          <w:rFonts w:hint="eastAsia" w:ascii="仿宋_GB2312" w:hAnsi="仿宋_GB2312" w:eastAsia="仿宋_GB2312" w:cs="仿宋_GB2312"/>
          <w:sz w:val="32"/>
          <w:szCs w:val="32"/>
        </w:rPr>
        <w:t>节，彭州市共有75名教师的优课获奖。加大信息化应用案例推广，评选彭州市级教育信息化应用案例一等奖5名，二等奖10名。其中通济小学的《利用“钉钉”在校园管理中的应用》被成都市教育技装中心评选为成都市教育信息化优秀案例，推荐到四川省电教馆进行评选。</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【教育国际化】 </w:t>
      </w:r>
      <w:r>
        <w:rPr>
          <w:rFonts w:hint="eastAsia" w:ascii="仿宋_GB2312" w:hAnsi="仿宋_GB2312" w:eastAsia="仿宋_GB2312" w:cs="仿宋_GB2312"/>
          <w:sz w:val="32"/>
          <w:szCs w:val="32"/>
        </w:rPr>
        <w:t>国际理解教育外教进校园覆盖面达100%，新缔结海外姊妹学校结对5个，组织师生开展境外交流互访约430余人次，高中毕业境外大学就读15人。川剧梨园新蕾艺术团到摩洛哥参加“非斯心灵音乐节”；川剧艺术团和白鹿童声合唱团参加了成都市国际友城青年艺术节彭州分会场、2018彭州国际青年艺术节、第6届白鹿.法国古典音乐艺术节等演出。春、秋季分别在全市学校（幼儿园）开展“外教进校园送教”活动；组织了180余名师生赴新加坡、韩国、日本交流游学；接待了来自马来西亚吉隆坡、韩国、加拿大的访问团；中德合作“AHK”项目签约，“AHK中德(成都)化工职业培训中心”成立。</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shd w:val="clear" w:color="auto" w:fill="FFFFFF"/>
        </w:rPr>
        <w:t>【关心下一代工作】</w:t>
      </w:r>
      <w:r>
        <w:rPr>
          <w:rFonts w:hint="eastAsia" w:ascii="仿宋_GB2312" w:hAnsi="仿宋_GB2312" w:eastAsia="仿宋_GB2312" w:cs="仿宋_GB2312"/>
          <w:sz w:val="32"/>
          <w:szCs w:val="32"/>
        </w:rPr>
        <w:t>彭州市教育局关工委开展“传承红色基因.争做时代新人”主题教育活动，组织青少年进行红色演讲70余次，参观红色教育基地60次，到烈士陵园开展夏令营活动10次，撰写红色教育征文520篇，其中有216篇获得成都市等级奖，彭州市教育局、彭州中学等六个单位获得组织奖。牵头开展“卫生走进中小学，中小学走进卫生”关爱健康下一代工作，全市54所学校分别与当地卫生院、医院联动。开展普法教育活动，参与筹备四川省第四届“关爱明天、普法先行”青少年普法教育活动启动仪式暨普法特色教育交流活动彭州会议，接待全省参会人员参观我市教育系统法治教育基地。重视安全防范，强化安全意识，进行安全教育1003次，网吧监督124次，学生安全知识普及率100%。彭州市教育局关工委组织“五老”报告团220人深入54所学校举办内容丰富、形式多样的讲座活动56次，参与学生5万余名。关爱留守儿童、贫困儿童、残疾儿童等特殊群体，为残疾学生争取补助2万元，开展“暖冬”行动，慰问残疾学生162名，为山区留守、贫困儿童送去慰问品150余件。2018年彭州市教育局关工委被彭州市关工委评为“宣传工作先进单位”，“传承红色基因.争做时代新人”主题教育活动在成都市通联工作会上做交流发言，延秀小学在四川省第四届“关爱明天、普法先行”青少年普法教育活动启动仪式上进行交流发言。</w:t>
      </w:r>
    </w:p>
    <w:p>
      <w:pPr>
        <w:spacing w:line="560" w:lineRule="exact"/>
        <w:ind w:right="84"/>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 xml:space="preserve">                     </w:t>
      </w:r>
    </w:p>
    <w:p>
      <w:pPr>
        <w:ind w:left="5115" w:leftChars="2216" w:hanging="240" w:hangingChars="75"/>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 xml:space="preserve">                    </w:t>
      </w:r>
    </w:p>
    <w:p>
      <w:pPr>
        <w:spacing w:line="560" w:lineRule="exact"/>
        <w:ind w:right="84"/>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 xml:space="preserve">                           撰稿人：李庆  王勇  王尔江      </w:t>
      </w:r>
    </w:p>
    <w:p>
      <w:pPr>
        <w:ind w:left="3600" w:firstLine="720"/>
        <w:rPr>
          <w:rFonts w:cs="仿宋_GB2312" w:asciiTheme="minorEastAsia" w:hAnsiTheme="minorEastAsia" w:eastAsiaTheme="minorEastAsia"/>
          <w:b/>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审稿人：蔡琳</w:t>
      </w:r>
    </w:p>
    <w:p>
      <w:pPr>
        <w:rPr>
          <w:color w:val="000000" w:themeColor="text1"/>
          <w14:textFill>
            <w14:solidFill>
              <w14:schemeClr w14:val="tx1"/>
            </w14:solidFill>
          </w14:textFill>
        </w:rPr>
      </w:pPr>
    </w:p>
    <w:p>
      <w:pPr>
        <w:spacing w:line="560" w:lineRule="exact"/>
        <w:ind w:firstLine="640"/>
        <w:rPr>
          <w:rFonts w:ascii="仿宋_GB2312" w:hAnsi="仿宋_GB2312" w:eastAsia="仿宋_GB2312" w:cs="仿宋_GB2312"/>
          <w:sz w:val="32"/>
          <w:szCs w:val="32"/>
        </w:rPr>
      </w:pPr>
    </w:p>
    <w:sectPr>
      <w:footerReference r:id="rId3" w:type="default"/>
      <w:pgSz w:w="11906" w:h="16838"/>
      <w:pgMar w:top="1440" w:right="1526"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小标宋">
    <w:altName w:val="方正兰亭超细黑简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D2"/>
    <w:rsid w:val="00002094"/>
    <w:rsid w:val="00003E7A"/>
    <w:rsid w:val="0000472E"/>
    <w:rsid w:val="00012796"/>
    <w:rsid w:val="00015E53"/>
    <w:rsid w:val="00021658"/>
    <w:rsid w:val="00026147"/>
    <w:rsid w:val="00030825"/>
    <w:rsid w:val="00030AAF"/>
    <w:rsid w:val="000334E6"/>
    <w:rsid w:val="00035700"/>
    <w:rsid w:val="00035D1C"/>
    <w:rsid w:val="00045473"/>
    <w:rsid w:val="000463F4"/>
    <w:rsid w:val="0006623D"/>
    <w:rsid w:val="0006732C"/>
    <w:rsid w:val="000776DB"/>
    <w:rsid w:val="0008063C"/>
    <w:rsid w:val="00090819"/>
    <w:rsid w:val="00095AEE"/>
    <w:rsid w:val="000A1110"/>
    <w:rsid w:val="000A2E6A"/>
    <w:rsid w:val="000A775D"/>
    <w:rsid w:val="000B4304"/>
    <w:rsid w:val="000C2CE2"/>
    <w:rsid w:val="000C510E"/>
    <w:rsid w:val="000C68E4"/>
    <w:rsid w:val="000C6BB6"/>
    <w:rsid w:val="000D02D2"/>
    <w:rsid w:val="000D1EC3"/>
    <w:rsid w:val="000D34E1"/>
    <w:rsid w:val="000D431C"/>
    <w:rsid w:val="000D4692"/>
    <w:rsid w:val="000E10B5"/>
    <w:rsid w:val="000E3517"/>
    <w:rsid w:val="000F52D8"/>
    <w:rsid w:val="000F6ABE"/>
    <w:rsid w:val="00112210"/>
    <w:rsid w:val="00114529"/>
    <w:rsid w:val="001159B7"/>
    <w:rsid w:val="00115EC7"/>
    <w:rsid w:val="00116434"/>
    <w:rsid w:val="00123E1A"/>
    <w:rsid w:val="00126542"/>
    <w:rsid w:val="00132534"/>
    <w:rsid w:val="00133800"/>
    <w:rsid w:val="001346F6"/>
    <w:rsid w:val="0013566E"/>
    <w:rsid w:val="00141B6B"/>
    <w:rsid w:val="001477DC"/>
    <w:rsid w:val="001532FA"/>
    <w:rsid w:val="0015481F"/>
    <w:rsid w:val="00157863"/>
    <w:rsid w:val="00164F00"/>
    <w:rsid w:val="00165FCD"/>
    <w:rsid w:val="00171B55"/>
    <w:rsid w:val="00176984"/>
    <w:rsid w:val="00176C78"/>
    <w:rsid w:val="00176E86"/>
    <w:rsid w:val="00177DCD"/>
    <w:rsid w:val="001824D3"/>
    <w:rsid w:val="00183216"/>
    <w:rsid w:val="001946E1"/>
    <w:rsid w:val="001A0DF3"/>
    <w:rsid w:val="001B1E8D"/>
    <w:rsid w:val="001B5FF0"/>
    <w:rsid w:val="001C4727"/>
    <w:rsid w:val="001C4812"/>
    <w:rsid w:val="001D096A"/>
    <w:rsid w:val="001D321F"/>
    <w:rsid w:val="001D6B7D"/>
    <w:rsid w:val="001D77C4"/>
    <w:rsid w:val="001D7CFA"/>
    <w:rsid w:val="001E5395"/>
    <w:rsid w:val="001F3072"/>
    <w:rsid w:val="001F43A4"/>
    <w:rsid w:val="00201175"/>
    <w:rsid w:val="00201F00"/>
    <w:rsid w:val="002033EF"/>
    <w:rsid w:val="00204B2E"/>
    <w:rsid w:val="00204C3C"/>
    <w:rsid w:val="002104D3"/>
    <w:rsid w:val="00217D5D"/>
    <w:rsid w:val="00220052"/>
    <w:rsid w:val="00220788"/>
    <w:rsid w:val="00221228"/>
    <w:rsid w:val="002232F2"/>
    <w:rsid w:val="002248F6"/>
    <w:rsid w:val="00224EB5"/>
    <w:rsid w:val="002250E2"/>
    <w:rsid w:val="002257C8"/>
    <w:rsid w:val="0022754A"/>
    <w:rsid w:val="002371E2"/>
    <w:rsid w:val="00246CF3"/>
    <w:rsid w:val="00247BC9"/>
    <w:rsid w:val="00250BAD"/>
    <w:rsid w:val="00252C88"/>
    <w:rsid w:val="0025711A"/>
    <w:rsid w:val="0026322C"/>
    <w:rsid w:val="00264D34"/>
    <w:rsid w:val="00266DE6"/>
    <w:rsid w:val="00272879"/>
    <w:rsid w:val="00280519"/>
    <w:rsid w:val="00281132"/>
    <w:rsid w:val="0028409A"/>
    <w:rsid w:val="00290405"/>
    <w:rsid w:val="002A0EEC"/>
    <w:rsid w:val="002A6673"/>
    <w:rsid w:val="002B332D"/>
    <w:rsid w:val="002C28F5"/>
    <w:rsid w:val="002D050A"/>
    <w:rsid w:val="002E1160"/>
    <w:rsid w:val="002E12B1"/>
    <w:rsid w:val="002E1452"/>
    <w:rsid w:val="002E354F"/>
    <w:rsid w:val="002E3873"/>
    <w:rsid w:val="002F256A"/>
    <w:rsid w:val="002F3DE9"/>
    <w:rsid w:val="002F3FD4"/>
    <w:rsid w:val="002F498D"/>
    <w:rsid w:val="002F746D"/>
    <w:rsid w:val="003066E8"/>
    <w:rsid w:val="00306953"/>
    <w:rsid w:val="003158EE"/>
    <w:rsid w:val="00315BCD"/>
    <w:rsid w:val="00321077"/>
    <w:rsid w:val="00323B43"/>
    <w:rsid w:val="00324ED5"/>
    <w:rsid w:val="003251A7"/>
    <w:rsid w:val="00334168"/>
    <w:rsid w:val="00335776"/>
    <w:rsid w:val="00342DF6"/>
    <w:rsid w:val="00351A46"/>
    <w:rsid w:val="00352E96"/>
    <w:rsid w:val="00353802"/>
    <w:rsid w:val="00354D78"/>
    <w:rsid w:val="00361057"/>
    <w:rsid w:val="00363E53"/>
    <w:rsid w:val="0036473B"/>
    <w:rsid w:val="00365CB9"/>
    <w:rsid w:val="0036790D"/>
    <w:rsid w:val="00384B21"/>
    <w:rsid w:val="00391032"/>
    <w:rsid w:val="0039495F"/>
    <w:rsid w:val="003949EF"/>
    <w:rsid w:val="003A42F4"/>
    <w:rsid w:val="003A5DB9"/>
    <w:rsid w:val="003A75FD"/>
    <w:rsid w:val="003B06CF"/>
    <w:rsid w:val="003B72A5"/>
    <w:rsid w:val="003C1C68"/>
    <w:rsid w:val="003C42B4"/>
    <w:rsid w:val="003D11BC"/>
    <w:rsid w:val="003D34FD"/>
    <w:rsid w:val="003D37D8"/>
    <w:rsid w:val="003D4368"/>
    <w:rsid w:val="003D4EB5"/>
    <w:rsid w:val="003E2F55"/>
    <w:rsid w:val="003F1D2A"/>
    <w:rsid w:val="003F2539"/>
    <w:rsid w:val="003F2676"/>
    <w:rsid w:val="003F5068"/>
    <w:rsid w:val="00400CCB"/>
    <w:rsid w:val="00404196"/>
    <w:rsid w:val="00414E5A"/>
    <w:rsid w:val="00421D29"/>
    <w:rsid w:val="004321F2"/>
    <w:rsid w:val="00433182"/>
    <w:rsid w:val="004358AB"/>
    <w:rsid w:val="00442754"/>
    <w:rsid w:val="00443A65"/>
    <w:rsid w:val="00444072"/>
    <w:rsid w:val="00450B4D"/>
    <w:rsid w:val="004554FD"/>
    <w:rsid w:val="00456F69"/>
    <w:rsid w:val="00457552"/>
    <w:rsid w:val="00457B02"/>
    <w:rsid w:val="0046623C"/>
    <w:rsid w:val="00471277"/>
    <w:rsid w:val="00476C93"/>
    <w:rsid w:val="00480B07"/>
    <w:rsid w:val="00485DD9"/>
    <w:rsid w:val="00486596"/>
    <w:rsid w:val="00490A21"/>
    <w:rsid w:val="0049377A"/>
    <w:rsid w:val="004A1B92"/>
    <w:rsid w:val="004A2B5F"/>
    <w:rsid w:val="004A50B3"/>
    <w:rsid w:val="004A65B1"/>
    <w:rsid w:val="004B3583"/>
    <w:rsid w:val="004B5490"/>
    <w:rsid w:val="004C5940"/>
    <w:rsid w:val="004C6109"/>
    <w:rsid w:val="004D2C85"/>
    <w:rsid w:val="004D6273"/>
    <w:rsid w:val="004E2F69"/>
    <w:rsid w:val="004E3082"/>
    <w:rsid w:val="004E5512"/>
    <w:rsid w:val="004E6E14"/>
    <w:rsid w:val="004F1A66"/>
    <w:rsid w:val="00505A0E"/>
    <w:rsid w:val="00506093"/>
    <w:rsid w:val="0051141A"/>
    <w:rsid w:val="005120C6"/>
    <w:rsid w:val="00513892"/>
    <w:rsid w:val="00524E73"/>
    <w:rsid w:val="00530530"/>
    <w:rsid w:val="00531BA0"/>
    <w:rsid w:val="005354C7"/>
    <w:rsid w:val="00543A81"/>
    <w:rsid w:val="0054446E"/>
    <w:rsid w:val="0054664F"/>
    <w:rsid w:val="005510F6"/>
    <w:rsid w:val="005528C9"/>
    <w:rsid w:val="00561E09"/>
    <w:rsid w:val="005640A8"/>
    <w:rsid w:val="00565AF5"/>
    <w:rsid w:val="00566B55"/>
    <w:rsid w:val="0056759D"/>
    <w:rsid w:val="005700E5"/>
    <w:rsid w:val="00570451"/>
    <w:rsid w:val="00571874"/>
    <w:rsid w:val="005747B2"/>
    <w:rsid w:val="00582684"/>
    <w:rsid w:val="00586C71"/>
    <w:rsid w:val="005923BB"/>
    <w:rsid w:val="0059540B"/>
    <w:rsid w:val="005A0222"/>
    <w:rsid w:val="005A079A"/>
    <w:rsid w:val="005A79D6"/>
    <w:rsid w:val="005B0757"/>
    <w:rsid w:val="005B485F"/>
    <w:rsid w:val="005C2425"/>
    <w:rsid w:val="005C42D7"/>
    <w:rsid w:val="005C4452"/>
    <w:rsid w:val="005C523A"/>
    <w:rsid w:val="005C5705"/>
    <w:rsid w:val="005D005E"/>
    <w:rsid w:val="005D7A5B"/>
    <w:rsid w:val="005E3D7A"/>
    <w:rsid w:val="005E655F"/>
    <w:rsid w:val="005F6D84"/>
    <w:rsid w:val="0060607E"/>
    <w:rsid w:val="0061026E"/>
    <w:rsid w:val="0061062A"/>
    <w:rsid w:val="00615110"/>
    <w:rsid w:val="006211A5"/>
    <w:rsid w:val="00622855"/>
    <w:rsid w:val="00626310"/>
    <w:rsid w:val="00626464"/>
    <w:rsid w:val="006342F2"/>
    <w:rsid w:val="00636066"/>
    <w:rsid w:val="006420BE"/>
    <w:rsid w:val="00644FF6"/>
    <w:rsid w:val="00647121"/>
    <w:rsid w:val="00647345"/>
    <w:rsid w:val="0066527D"/>
    <w:rsid w:val="00674F7E"/>
    <w:rsid w:val="00680D57"/>
    <w:rsid w:val="006912D9"/>
    <w:rsid w:val="00691E96"/>
    <w:rsid w:val="006939F4"/>
    <w:rsid w:val="006953B6"/>
    <w:rsid w:val="006B3C23"/>
    <w:rsid w:val="006C04DC"/>
    <w:rsid w:val="006C4D41"/>
    <w:rsid w:val="006C63C5"/>
    <w:rsid w:val="006D1E03"/>
    <w:rsid w:val="006D604F"/>
    <w:rsid w:val="006E2ED6"/>
    <w:rsid w:val="006E3C07"/>
    <w:rsid w:val="006F019F"/>
    <w:rsid w:val="006F10C7"/>
    <w:rsid w:val="00700087"/>
    <w:rsid w:val="00704E0B"/>
    <w:rsid w:val="0071142F"/>
    <w:rsid w:val="007123A4"/>
    <w:rsid w:val="00716065"/>
    <w:rsid w:val="0072028F"/>
    <w:rsid w:val="007206C9"/>
    <w:rsid w:val="007209A1"/>
    <w:rsid w:val="0072755D"/>
    <w:rsid w:val="00732BB9"/>
    <w:rsid w:val="00736D21"/>
    <w:rsid w:val="0074276C"/>
    <w:rsid w:val="00747485"/>
    <w:rsid w:val="00752B2E"/>
    <w:rsid w:val="00754E10"/>
    <w:rsid w:val="007566D6"/>
    <w:rsid w:val="00756C25"/>
    <w:rsid w:val="00757789"/>
    <w:rsid w:val="00760AFE"/>
    <w:rsid w:val="00761E57"/>
    <w:rsid w:val="007659C0"/>
    <w:rsid w:val="0076669E"/>
    <w:rsid w:val="00767091"/>
    <w:rsid w:val="007718C1"/>
    <w:rsid w:val="007721CC"/>
    <w:rsid w:val="007726A3"/>
    <w:rsid w:val="00774011"/>
    <w:rsid w:val="00775A17"/>
    <w:rsid w:val="0077600C"/>
    <w:rsid w:val="0077744B"/>
    <w:rsid w:val="007875C9"/>
    <w:rsid w:val="007A759F"/>
    <w:rsid w:val="007A7D3C"/>
    <w:rsid w:val="007C0AF8"/>
    <w:rsid w:val="007C225B"/>
    <w:rsid w:val="007C47C2"/>
    <w:rsid w:val="007D22CF"/>
    <w:rsid w:val="007D2B41"/>
    <w:rsid w:val="007D3FAA"/>
    <w:rsid w:val="007D6F6C"/>
    <w:rsid w:val="007E36F6"/>
    <w:rsid w:val="007F5AEA"/>
    <w:rsid w:val="008000CB"/>
    <w:rsid w:val="008073A4"/>
    <w:rsid w:val="00816A02"/>
    <w:rsid w:val="008175CB"/>
    <w:rsid w:val="00830530"/>
    <w:rsid w:val="00832EE2"/>
    <w:rsid w:val="008333DA"/>
    <w:rsid w:val="00835509"/>
    <w:rsid w:val="00846981"/>
    <w:rsid w:val="00846B36"/>
    <w:rsid w:val="00851B53"/>
    <w:rsid w:val="0085435E"/>
    <w:rsid w:val="00854849"/>
    <w:rsid w:val="00863B31"/>
    <w:rsid w:val="00865D7F"/>
    <w:rsid w:val="00867E89"/>
    <w:rsid w:val="00870D87"/>
    <w:rsid w:val="00873F9A"/>
    <w:rsid w:val="00874165"/>
    <w:rsid w:val="008742B9"/>
    <w:rsid w:val="00880168"/>
    <w:rsid w:val="008865BE"/>
    <w:rsid w:val="0089097F"/>
    <w:rsid w:val="00893A1F"/>
    <w:rsid w:val="008A15C9"/>
    <w:rsid w:val="008A2830"/>
    <w:rsid w:val="008A5FD6"/>
    <w:rsid w:val="008B1449"/>
    <w:rsid w:val="008B169A"/>
    <w:rsid w:val="008B284A"/>
    <w:rsid w:val="008B7726"/>
    <w:rsid w:val="008C19E2"/>
    <w:rsid w:val="008C4B0E"/>
    <w:rsid w:val="008D062D"/>
    <w:rsid w:val="008D5491"/>
    <w:rsid w:val="008E5BEF"/>
    <w:rsid w:val="008E69E5"/>
    <w:rsid w:val="008F10FB"/>
    <w:rsid w:val="008F14FD"/>
    <w:rsid w:val="008F3A0D"/>
    <w:rsid w:val="008F755C"/>
    <w:rsid w:val="008F7902"/>
    <w:rsid w:val="0090698A"/>
    <w:rsid w:val="009123E8"/>
    <w:rsid w:val="00920C69"/>
    <w:rsid w:val="009234A4"/>
    <w:rsid w:val="009235D8"/>
    <w:rsid w:val="009378A4"/>
    <w:rsid w:val="00940DF9"/>
    <w:rsid w:val="00941CD7"/>
    <w:rsid w:val="00947197"/>
    <w:rsid w:val="00961A4B"/>
    <w:rsid w:val="00965D6B"/>
    <w:rsid w:val="00974D8A"/>
    <w:rsid w:val="00981EED"/>
    <w:rsid w:val="009828B7"/>
    <w:rsid w:val="00993F72"/>
    <w:rsid w:val="009A6BF3"/>
    <w:rsid w:val="009A7001"/>
    <w:rsid w:val="009B19ED"/>
    <w:rsid w:val="009B326E"/>
    <w:rsid w:val="009B56DC"/>
    <w:rsid w:val="009B664B"/>
    <w:rsid w:val="009C1AE9"/>
    <w:rsid w:val="009C648E"/>
    <w:rsid w:val="009D0C3B"/>
    <w:rsid w:val="009D2382"/>
    <w:rsid w:val="009E1321"/>
    <w:rsid w:val="009E2217"/>
    <w:rsid w:val="009E298E"/>
    <w:rsid w:val="009E4B23"/>
    <w:rsid w:val="00A00070"/>
    <w:rsid w:val="00A10D3E"/>
    <w:rsid w:val="00A14D32"/>
    <w:rsid w:val="00A16AB0"/>
    <w:rsid w:val="00A227AB"/>
    <w:rsid w:val="00A2657A"/>
    <w:rsid w:val="00A26A64"/>
    <w:rsid w:val="00A31AB9"/>
    <w:rsid w:val="00A32029"/>
    <w:rsid w:val="00A40426"/>
    <w:rsid w:val="00A40AA5"/>
    <w:rsid w:val="00A42EE8"/>
    <w:rsid w:val="00A43D91"/>
    <w:rsid w:val="00A51CE9"/>
    <w:rsid w:val="00A61A9D"/>
    <w:rsid w:val="00A7153D"/>
    <w:rsid w:val="00A72AE2"/>
    <w:rsid w:val="00A73A2D"/>
    <w:rsid w:val="00A73B9E"/>
    <w:rsid w:val="00A774AB"/>
    <w:rsid w:val="00A80B02"/>
    <w:rsid w:val="00A8130D"/>
    <w:rsid w:val="00A8280A"/>
    <w:rsid w:val="00A84949"/>
    <w:rsid w:val="00A942F7"/>
    <w:rsid w:val="00AA1213"/>
    <w:rsid w:val="00AA6FA8"/>
    <w:rsid w:val="00AB2B30"/>
    <w:rsid w:val="00AC0AFD"/>
    <w:rsid w:val="00AC3A6D"/>
    <w:rsid w:val="00AD0079"/>
    <w:rsid w:val="00AD079C"/>
    <w:rsid w:val="00AD3C37"/>
    <w:rsid w:val="00AD5005"/>
    <w:rsid w:val="00AD76B5"/>
    <w:rsid w:val="00AE0F0D"/>
    <w:rsid w:val="00AE2104"/>
    <w:rsid w:val="00AE3196"/>
    <w:rsid w:val="00AE4A02"/>
    <w:rsid w:val="00AE603D"/>
    <w:rsid w:val="00AE66DA"/>
    <w:rsid w:val="00AE73D3"/>
    <w:rsid w:val="00AF25E6"/>
    <w:rsid w:val="00AF26E8"/>
    <w:rsid w:val="00AF350D"/>
    <w:rsid w:val="00AF41CD"/>
    <w:rsid w:val="00B03545"/>
    <w:rsid w:val="00B03CA8"/>
    <w:rsid w:val="00B03D52"/>
    <w:rsid w:val="00B04783"/>
    <w:rsid w:val="00B06CFE"/>
    <w:rsid w:val="00B17077"/>
    <w:rsid w:val="00B21090"/>
    <w:rsid w:val="00B2186C"/>
    <w:rsid w:val="00B21A55"/>
    <w:rsid w:val="00B22AD4"/>
    <w:rsid w:val="00B23F13"/>
    <w:rsid w:val="00B26F21"/>
    <w:rsid w:val="00B319AC"/>
    <w:rsid w:val="00B3386C"/>
    <w:rsid w:val="00B33B56"/>
    <w:rsid w:val="00B3466C"/>
    <w:rsid w:val="00B41009"/>
    <w:rsid w:val="00B5194F"/>
    <w:rsid w:val="00B51D48"/>
    <w:rsid w:val="00B53B41"/>
    <w:rsid w:val="00B6290E"/>
    <w:rsid w:val="00B6609C"/>
    <w:rsid w:val="00B666E8"/>
    <w:rsid w:val="00B7296D"/>
    <w:rsid w:val="00B856FA"/>
    <w:rsid w:val="00B9011D"/>
    <w:rsid w:val="00BA12BA"/>
    <w:rsid w:val="00BA7148"/>
    <w:rsid w:val="00BC24E2"/>
    <w:rsid w:val="00BC2F52"/>
    <w:rsid w:val="00BC7792"/>
    <w:rsid w:val="00BD22F0"/>
    <w:rsid w:val="00BD2D57"/>
    <w:rsid w:val="00BD30BF"/>
    <w:rsid w:val="00BE685F"/>
    <w:rsid w:val="00BF44DD"/>
    <w:rsid w:val="00C01679"/>
    <w:rsid w:val="00C057BE"/>
    <w:rsid w:val="00C0762B"/>
    <w:rsid w:val="00C10768"/>
    <w:rsid w:val="00C1740A"/>
    <w:rsid w:val="00C257CA"/>
    <w:rsid w:val="00C258A9"/>
    <w:rsid w:val="00C30B77"/>
    <w:rsid w:val="00C30FBD"/>
    <w:rsid w:val="00C32415"/>
    <w:rsid w:val="00C32F03"/>
    <w:rsid w:val="00C34347"/>
    <w:rsid w:val="00C41AEF"/>
    <w:rsid w:val="00C512ED"/>
    <w:rsid w:val="00C521CD"/>
    <w:rsid w:val="00C54B0B"/>
    <w:rsid w:val="00C56CF0"/>
    <w:rsid w:val="00C63022"/>
    <w:rsid w:val="00C679A6"/>
    <w:rsid w:val="00C70F23"/>
    <w:rsid w:val="00C71A54"/>
    <w:rsid w:val="00C71B19"/>
    <w:rsid w:val="00C721BC"/>
    <w:rsid w:val="00C72A4B"/>
    <w:rsid w:val="00C74B56"/>
    <w:rsid w:val="00C771B9"/>
    <w:rsid w:val="00C77565"/>
    <w:rsid w:val="00C80B49"/>
    <w:rsid w:val="00C83B0E"/>
    <w:rsid w:val="00C85B1C"/>
    <w:rsid w:val="00C85BC9"/>
    <w:rsid w:val="00C87A08"/>
    <w:rsid w:val="00CA0573"/>
    <w:rsid w:val="00CA0B2C"/>
    <w:rsid w:val="00CA317D"/>
    <w:rsid w:val="00CA396B"/>
    <w:rsid w:val="00CA5149"/>
    <w:rsid w:val="00CA51E3"/>
    <w:rsid w:val="00CC10D5"/>
    <w:rsid w:val="00CD368A"/>
    <w:rsid w:val="00CD613B"/>
    <w:rsid w:val="00CE10FC"/>
    <w:rsid w:val="00CE356C"/>
    <w:rsid w:val="00CF4BBB"/>
    <w:rsid w:val="00CF6178"/>
    <w:rsid w:val="00D11185"/>
    <w:rsid w:val="00D15D92"/>
    <w:rsid w:val="00D16AC0"/>
    <w:rsid w:val="00D22EBE"/>
    <w:rsid w:val="00D35C3C"/>
    <w:rsid w:val="00D36BD9"/>
    <w:rsid w:val="00D52677"/>
    <w:rsid w:val="00D5595E"/>
    <w:rsid w:val="00D56583"/>
    <w:rsid w:val="00D56A49"/>
    <w:rsid w:val="00D60D0F"/>
    <w:rsid w:val="00D636AD"/>
    <w:rsid w:val="00D6387B"/>
    <w:rsid w:val="00D66020"/>
    <w:rsid w:val="00D71D17"/>
    <w:rsid w:val="00D732AE"/>
    <w:rsid w:val="00D73B3F"/>
    <w:rsid w:val="00D742A6"/>
    <w:rsid w:val="00D74AB5"/>
    <w:rsid w:val="00D769BE"/>
    <w:rsid w:val="00D82338"/>
    <w:rsid w:val="00D837CA"/>
    <w:rsid w:val="00D916A4"/>
    <w:rsid w:val="00D922C3"/>
    <w:rsid w:val="00D944EA"/>
    <w:rsid w:val="00D95CF7"/>
    <w:rsid w:val="00DA05DC"/>
    <w:rsid w:val="00DA08CD"/>
    <w:rsid w:val="00DA6993"/>
    <w:rsid w:val="00DB195A"/>
    <w:rsid w:val="00DB1F84"/>
    <w:rsid w:val="00DB294B"/>
    <w:rsid w:val="00DB39A1"/>
    <w:rsid w:val="00DB5889"/>
    <w:rsid w:val="00DB7EDA"/>
    <w:rsid w:val="00DC6248"/>
    <w:rsid w:val="00DD5B84"/>
    <w:rsid w:val="00DE262F"/>
    <w:rsid w:val="00DE2D00"/>
    <w:rsid w:val="00DE3549"/>
    <w:rsid w:val="00DE4F29"/>
    <w:rsid w:val="00DE54EC"/>
    <w:rsid w:val="00DE7D7C"/>
    <w:rsid w:val="00E003C2"/>
    <w:rsid w:val="00E04232"/>
    <w:rsid w:val="00E1114E"/>
    <w:rsid w:val="00E15F3F"/>
    <w:rsid w:val="00E16853"/>
    <w:rsid w:val="00E17F8E"/>
    <w:rsid w:val="00E26C30"/>
    <w:rsid w:val="00E2761E"/>
    <w:rsid w:val="00E444DB"/>
    <w:rsid w:val="00E4509D"/>
    <w:rsid w:val="00E467BD"/>
    <w:rsid w:val="00E47418"/>
    <w:rsid w:val="00E47A4E"/>
    <w:rsid w:val="00E47C6D"/>
    <w:rsid w:val="00E5305F"/>
    <w:rsid w:val="00E5494E"/>
    <w:rsid w:val="00E6306D"/>
    <w:rsid w:val="00E64FD0"/>
    <w:rsid w:val="00E67FC9"/>
    <w:rsid w:val="00E7022A"/>
    <w:rsid w:val="00E74485"/>
    <w:rsid w:val="00E7612A"/>
    <w:rsid w:val="00E76513"/>
    <w:rsid w:val="00E76EBD"/>
    <w:rsid w:val="00E77B55"/>
    <w:rsid w:val="00E80096"/>
    <w:rsid w:val="00E825C2"/>
    <w:rsid w:val="00EA0C56"/>
    <w:rsid w:val="00EA1D29"/>
    <w:rsid w:val="00EA5C82"/>
    <w:rsid w:val="00EA7185"/>
    <w:rsid w:val="00EA757B"/>
    <w:rsid w:val="00EB351C"/>
    <w:rsid w:val="00EB5EF0"/>
    <w:rsid w:val="00EB740D"/>
    <w:rsid w:val="00EB769B"/>
    <w:rsid w:val="00EC48F1"/>
    <w:rsid w:val="00EC7BB7"/>
    <w:rsid w:val="00ED1019"/>
    <w:rsid w:val="00ED1AD9"/>
    <w:rsid w:val="00EE06CF"/>
    <w:rsid w:val="00EE26B4"/>
    <w:rsid w:val="00EE3909"/>
    <w:rsid w:val="00EE6AF9"/>
    <w:rsid w:val="00EF5A84"/>
    <w:rsid w:val="00F01ABA"/>
    <w:rsid w:val="00F030A5"/>
    <w:rsid w:val="00F13718"/>
    <w:rsid w:val="00F13C16"/>
    <w:rsid w:val="00F13F14"/>
    <w:rsid w:val="00F1628B"/>
    <w:rsid w:val="00F22CA4"/>
    <w:rsid w:val="00F233C8"/>
    <w:rsid w:val="00F25E72"/>
    <w:rsid w:val="00F26926"/>
    <w:rsid w:val="00F314D8"/>
    <w:rsid w:val="00F36F93"/>
    <w:rsid w:val="00F44DAF"/>
    <w:rsid w:val="00F44ED4"/>
    <w:rsid w:val="00F60F65"/>
    <w:rsid w:val="00F63B2C"/>
    <w:rsid w:val="00F63BCE"/>
    <w:rsid w:val="00F709B3"/>
    <w:rsid w:val="00F80D3A"/>
    <w:rsid w:val="00F85BCE"/>
    <w:rsid w:val="00F87587"/>
    <w:rsid w:val="00F87EA6"/>
    <w:rsid w:val="00F964D4"/>
    <w:rsid w:val="00F979E7"/>
    <w:rsid w:val="00FA2ED3"/>
    <w:rsid w:val="00FB3344"/>
    <w:rsid w:val="00FB4680"/>
    <w:rsid w:val="00FB7E26"/>
    <w:rsid w:val="00FC0255"/>
    <w:rsid w:val="00FC1698"/>
    <w:rsid w:val="00FC41F9"/>
    <w:rsid w:val="00FC455F"/>
    <w:rsid w:val="00FD40DC"/>
    <w:rsid w:val="00FE4263"/>
    <w:rsid w:val="00FF2D13"/>
    <w:rsid w:val="00FF51CE"/>
    <w:rsid w:val="00FF61C3"/>
    <w:rsid w:val="00FF7F26"/>
    <w:rsid w:val="01D52166"/>
    <w:rsid w:val="03B4228D"/>
    <w:rsid w:val="044C73B6"/>
    <w:rsid w:val="06617344"/>
    <w:rsid w:val="08CA24FD"/>
    <w:rsid w:val="0A3830B3"/>
    <w:rsid w:val="0A6E713C"/>
    <w:rsid w:val="0AF60D11"/>
    <w:rsid w:val="0C33656B"/>
    <w:rsid w:val="0C6F4521"/>
    <w:rsid w:val="0E7E2E09"/>
    <w:rsid w:val="10A17512"/>
    <w:rsid w:val="127363EC"/>
    <w:rsid w:val="145C0EBE"/>
    <w:rsid w:val="191804DA"/>
    <w:rsid w:val="199F4E67"/>
    <w:rsid w:val="1A0651B3"/>
    <w:rsid w:val="1A3B1488"/>
    <w:rsid w:val="1F4A1955"/>
    <w:rsid w:val="24940004"/>
    <w:rsid w:val="27B000A4"/>
    <w:rsid w:val="2AB90F4C"/>
    <w:rsid w:val="2B5C220B"/>
    <w:rsid w:val="2C403A4A"/>
    <w:rsid w:val="2DE04427"/>
    <w:rsid w:val="2E0321BE"/>
    <w:rsid w:val="2E0B57C1"/>
    <w:rsid w:val="2E493998"/>
    <w:rsid w:val="2E646DE9"/>
    <w:rsid w:val="2F94520B"/>
    <w:rsid w:val="307625C7"/>
    <w:rsid w:val="37190FAA"/>
    <w:rsid w:val="37BC6FCE"/>
    <w:rsid w:val="38C17828"/>
    <w:rsid w:val="3E46204F"/>
    <w:rsid w:val="3FAB6CD0"/>
    <w:rsid w:val="417D444D"/>
    <w:rsid w:val="43A91766"/>
    <w:rsid w:val="43C100A1"/>
    <w:rsid w:val="44A4306C"/>
    <w:rsid w:val="44C26897"/>
    <w:rsid w:val="45F71764"/>
    <w:rsid w:val="4B1D55D9"/>
    <w:rsid w:val="4B5761B2"/>
    <w:rsid w:val="4D6576F4"/>
    <w:rsid w:val="4FEB7419"/>
    <w:rsid w:val="517F5F5B"/>
    <w:rsid w:val="52814340"/>
    <w:rsid w:val="52DA72CD"/>
    <w:rsid w:val="54E5373C"/>
    <w:rsid w:val="55010DC6"/>
    <w:rsid w:val="56390905"/>
    <w:rsid w:val="568035C1"/>
    <w:rsid w:val="5714711F"/>
    <w:rsid w:val="5A254231"/>
    <w:rsid w:val="5B007884"/>
    <w:rsid w:val="5DA6035C"/>
    <w:rsid w:val="5E3B4642"/>
    <w:rsid w:val="5EBA28D1"/>
    <w:rsid w:val="5F9679D7"/>
    <w:rsid w:val="618A05B0"/>
    <w:rsid w:val="61D72EFF"/>
    <w:rsid w:val="625E5E91"/>
    <w:rsid w:val="62807724"/>
    <w:rsid w:val="664A67B3"/>
    <w:rsid w:val="66782674"/>
    <w:rsid w:val="67FE0C4B"/>
    <w:rsid w:val="68D93541"/>
    <w:rsid w:val="6ABC00C7"/>
    <w:rsid w:val="6D291E5A"/>
    <w:rsid w:val="6D684853"/>
    <w:rsid w:val="6FBE28B1"/>
    <w:rsid w:val="72082C3D"/>
    <w:rsid w:val="742638C2"/>
    <w:rsid w:val="74315D97"/>
    <w:rsid w:val="74BD3541"/>
    <w:rsid w:val="754623B6"/>
    <w:rsid w:val="76667340"/>
    <w:rsid w:val="797B6EBE"/>
    <w:rsid w:val="7A6A7B1D"/>
    <w:rsid w:val="7CCF3981"/>
    <w:rsid w:val="7EFB3617"/>
    <w:rsid w:val="7F8F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3">
    <w:name w:val="heading 1"/>
    <w:basedOn w:val="1"/>
    <w:next w:val="1"/>
    <w:link w:val="8"/>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1"/>
    <w:basedOn w:val="1"/>
    <w:qFormat/>
    <w:uiPriority w:val="99"/>
    <w:pPr>
      <w:spacing w:line="240" w:lineRule="atLeast"/>
    </w:pPr>
    <w:rPr>
      <w:rFonts w:eastAsia="小标宋"/>
      <w:sz w:val="44"/>
    </w:rPr>
  </w:style>
  <w:style w:type="paragraph" w:styleId="4">
    <w:name w:val="footer"/>
    <w:basedOn w:val="1"/>
    <w:unhideWhenUsed/>
    <w:qFormat/>
    <w:uiPriority w:val="99"/>
    <w:pPr>
      <w:tabs>
        <w:tab w:val="center" w:pos="4153"/>
        <w:tab w:val="right" w:pos="8306"/>
      </w:tabs>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标题 1 字符"/>
    <w:basedOn w:val="6"/>
    <w:link w:val="3"/>
    <w:qFormat/>
    <w:uiPriority w:val="9"/>
    <w:rPr>
      <w:rFonts w:ascii="宋体" w:hAnsi="宋体" w:eastAsia="宋体" w:cs="宋体"/>
      <w:b/>
      <w:bCs/>
      <w:kern w:val="36"/>
      <w:sz w:val="48"/>
      <w:szCs w:val="48"/>
    </w:rPr>
  </w:style>
  <w:style w:type="paragraph" w:customStyle="1" w:styleId="9">
    <w:name w:val="Char"/>
    <w:basedOn w:val="1"/>
    <w:qFormat/>
    <w:uiPriority w:val="0"/>
    <w:pPr>
      <w:widowControl w:val="0"/>
      <w:adjustRightInd/>
      <w:snapToGrid/>
      <w:spacing w:line="360" w:lineRule="auto"/>
      <w:ind w:firstLine="551" w:firstLineChars="196"/>
      <w:jc w:val="both"/>
    </w:pPr>
    <w:rPr>
      <w:rFonts w:ascii="Times New Roman" w:hAnsi="Times New Roman" w:eastAsia="宋体" w:cs="Times New Roman"/>
      <w:kern w:val="2"/>
      <w:sz w:val="21"/>
      <w:szCs w:val="24"/>
    </w:rPr>
  </w:style>
  <w:style w:type="paragraph" w:customStyle="1" w:styleId="10">
    <w:name w:val="Char1"/>
    <w:basedOn w:val="1"/>
    <w:qFormat/>
    <w:uiPriority w:val="0"/>
    <w:pPr>
      <w:widowControl w:val="0"/>
      <w:adjustRightInd/>
      <w:snapToGrid/>
      <w:spacing w:line="360" w:lineRule="auto"/>
      <w:ind w:firstLine="551" w:firstLineChars="196"/>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1173</Words>
  <Characters>6691</Characters>
  <Lines>55</Lines>
  <Paragraphs>15</Paragraphs>
  <TotalTime>1</TotalTime>
  <ScaleCrop>false</ScaleCrop>
  <LinksUpToDate>false</LinksUpToDate>
  <CharactersWithSpaces>7849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2015-03-27T05:44:00Z</dcterms:created>
  <dc:creator>Administrator</dc:creator>
  <cp:lastModifiedBy>Administrator</cp:lastModifiedBy>
  <cp:lastPrinted>2018-12-19T01:33:00Z</cp:lastPrinted>
  <dcterms:modified xsi:type="dcterms:W3CDTF">2019-02-27T01:38:51Z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